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6C5B" w14:textId="77777777" w:rsidR="005A0A4C" w:rsidRPr="00A9522A" w:rsidRDefault="005A0A4C" w:rsidP="005A0A4C">
      <w:pPr>
        <w:rPr>
          <w:lang w:val="es-CL"/>
        </w:rPr>
      </w:pPr>
      <w:r w:rsidRPr="00A9522A">
        <w:rPr>
          <w:lang w:val="es-CL"/>
        </w:rPr>
        <w:t>A continuación, proporcionamos una breve descripción general y una comparación de las transferencias y subdelegaciones: uso de IPv4 por parte de terceros autorizados.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6"/>
        <w:gridCol w:w="2950"/>
        <w:gridCol w:w="2952"/>
      </w:tblGrid>
      <w:tr w:rsidR="005A0A4C" w:rsidRPr="00DC3755" w14:paraId="4A2D4687" w14:textId="77777777" w:rsidTr="003D233D">
        <w:tc>
          <w:tcPr>
            <w:tcW w:w="3116" w:type="dxa"/>
          </w:tcPr>
          <w:p w14:paraId="33059AB4" w14:textId="77777777" w:rsidR="005A0A4C" w:rsidRPr="005A0A4C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</w:p>
        </w:tc>
        <w:tc>
          <w:tcPr>
            <w:tcW w:w="3117" w:type="dxa"/>
          </w:tcPr>
          <w:p w14:paraId="790CB557" w14:textId="77777777" w:rsidR="005A0A4C" w:rsidRDefault="005A0A4C" w:rsidP="003D233D">
            <w:pPr>
              <w:pStyle w:val="Textosinformato"/>
              <w:rPr>
                <w:color w:val="215E99" w:themeColor="text2" w:themeTint="BF"/>
              </w:rPr>
            </w:pPr>
            <w:proofErr w:type="spellStart"/>
            <w:r>
              <w:rPr>
                <w:color w:val="215E99" w:themeColor="text2" w:themeTint="BF"/>
              </w:rPr>
              <w:t>Transferencias</w:t>
            </w:r>
            <w:proofErr w:type="spellEnd"/>
            <w:r>
              <w:rPr>
                <w:color w:val="215E99" w:themeColor="text2" w:themeTint="BF"/>
              </w:rPr>
              <w:t xml:space="preserve"> </w:t>
            </w:r>
            <w:proofErr w:type="spellStart"/>
            <w:r>
              <w:rPr>
                <w:color w:val="215E99" w:themeColor="text2" w:themeTint="BF"/>
              </w:rPr>
              <w:t>permanentes</w:t>
            </w:r>
            <w:proofErr w:type="spellEnd"/>
            <w:r>
              <w:rPr>
                <w:color w:val="215E99" w:themeColor="text2" w:themeTint="BF"/>
              </w:rPr>
              <w:t xml:space="preserve"> o </w:t>
            </w:r>
            <w:proofErr w:type="spellStart"/>
            <w:r>
              <w:rPr>
                <w:color w:val="215E99" w:themeColor="text2" w:themeTint="BF"/>
              </w:rPr>
              <w:t>temporales</w:t>
            </w:r>
            <w:proofErr w:type="spellEnd"/>
            <w:r>
              <w:rPr>
                <w:color w:val="215E99" w:themeColor="text2" w:themeTint="BF"/>
              </w:rPr>
              <w:t xml:space="preserve"> </w:t>
            </w:r>
          </w:p>
        </w:tc>
        <w:tc>
          <w:tcPr>
            <w:tcW w:w="3117" w:type="dxa"/>
          </w:tcPr>
          <w:p w14:paraId="7795D585" w14:textId="77777777" w:rsidR="005A0A4C" w:rsidRPr="00DC3755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C3755">
              <w:rPr>
                <w:color w:val="215E99" w:themeColor="text2" w:themeTint="BF"/>
                <w:lang w:val="es-CL"/>
              </w:rPr>
              <w:t>Uso por parte de terceros autorizados</w:t>
            </w:r>
          </w:p>
        </w:tc>
      </w:tr>
      <w:tr w:rsidR="005A0A4C" w:rsidRPr="00DC3755" w14:paraId="37CBB9BB" w14:textId="77777777" w:rsidTr="003D233D">
        <w:tc>
          <w:tcPr>
            <w:tcW w:w="3116" w:type="dxa"/>
          </w:tcPr>
          <w:p w14:paraId="45F78295" w14:textId="77777777" w:rsidR="005A0A4C" w:rsidRDefault="005A0A4C" w:rsidP="003D233D">
            <w:pPr>
              <w:pStyle w:val="Textosinformato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Control de IPv4</w:t>
            </w:r>
          </w:p>
        </w:tc>
        <w:tc>
          <w:tcPr>
            <w:tcW w:w="3117" w:type="dxa"/>
          </w:tcPr>
          <w:p w14:paraId="43596A4A" w14:textId="77777777" w:rsidR="005A0A4C" w:rsidRDefault="005A0A4C" w:rsidP="003D233D">
            <w:pPr>
              <w:pStyle w:val="Textosinformato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 xml:space="preserve">El </w:t>
            </w:r>
            <w:proofErr w:type="spellStart"/>
            <w:r>
              <w:rPr>
                <w:color w:val="215E99" w:themeColor="text2" w:themeTint="BF"/>
              </w:rPr>
              <w:t>adquirente</w:t>
            </w:r>
            <w:proofErr w:type="spellEnd"/>
            <w:r>
              <w:rPr>
                <w:color w:val="215E99" w:themeColor="text2" w:themeTint="BF"/>
              </w:rPr>
              <w:t xml:space="preserve"> de IPv4</w:t>
            </w:r>
          </w:p>
          <w:p w14:paraId="584F82C1" w14:textId="77777777" w:rsidR="005A0A4C" w:rsidRDefault="005A0A4C" w:rsidP="003D233D">
            <w:pPr>
              <w:pStyle w:val="Textosinformato"/>
              <w:rPr>
                <w:color w:val="215E99" w:themeColor="text2" w:themeTint="BF"/>
              </w:rPr>
            </w:pPr>
          </w:p>
        </w:tc>
        <w:tc>
          <w:tcPr>
            <w:tcW w:w="3117" w:type="dxa"/>
          </w:tcPr>
          <w:p w14:paraId="7D581933" w14:textId="77777777" w:rsidR="005A0A4C" w:rsidRPr="00DC3755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>
              <w:rPr>
                <w:color w:val="215E99" w:themeColor="text2" w:themeTint="BF"/>
                <w:lang w:val="es-CL"/>
              </w:rPr>
              <w:t>El asignatario</w:t>
            </w:r>
            <w:r w:rsidRPr="00DC3755">
              <w:rPr>
                <w:color w:val="215E99" w:themeColor="text2" w:themeTint="BF"/>
                <w:lang w:val="es-CL"/>
              </w:rPr>
              <w:t xml:space="preserve"> inicial de IPv4</w:t>
            </w:r>
          </w:p>
        </w:tc>
      </w:tr>
      <w:tr w:rsidR="005A0A4C" w:rsidRPr="00DC3755" w14:paraId="6017127E" w14:textId="77777777" w:rsidTr="003D233D">
        <w:tc>
          <w:tcPr>
            <w:tcW w:w="3116" w:type="dxa"/>
          </w:tcPr>
          <w:p w14:paraId="1DA10CAF" w14:textId="77777777" w:rsidR="005A0A4C" w:rsidRPr="00D1367D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1367D">
              <w:rPr>
                <w:color w:val="215E99" w:themeColor="text2" w:themeTint="BF"/>
                <w:lang w:val="es-CL"/>
              </w:rPr>
              <w:t>Responsabilidad por el uso de direcciones IPV4 ante L</w:t>
            </w:r>
            <w:r>
              <w:rPr>
                <w:color w:val="215E99" w:themeColor="text2" w:themeTint="BF"/>
                <w:lang w:val="es-CL"/>
              </w:rPr>
              <w:t xml:space="preserve">ACNIC y terceros. </w:t>
            </w:r>
          </w:p>
        </w:tc>
        <w:tc>
          <w:tcPr>
            <w:tcW w:w="3117" w:type="dxa"/>
          </w:tcPr>
          <w:p w14:paraId="46704F92" w14:textId="77777777" w:rsidR="005A0A4C" w:rsidRDefault="005A0A4C" w:rsidP="003D233D">
            <w:pPr>
              <w:pStyle w:val="Textosinformato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 xml:space="preserve">El </w:t>
            </w:r>
            <w:proofErr w:type="spellStart"/>
            <w:r>
              <w:rPr>
                <w:color w:val="215E99" w:themeColor="text2" w:themeTint="BF"/>
              </w:rPr>
              <w:t>adquirente</w:t>
            </w:r>
            <w:proofErr w:type="spellEnd"/>
            <w:r>
              <w:rPr>
                <w:color w:val="215E99" w:themeColor="text2" w:themeTint="BF"/>
              </w:rPr>
              <w:t xml:space="preserve"> de IPv4</w:t>
            </w:r>
          </w:p>
          <w:p w14:paraId="5DA95E24" w14:textId="77777777" w:rsidR="005A0A4C" w:rsidRDefault="005A0A4C" w:rsidP="003D233D">
            <w:pPr>
              <w:pStyle w:val="Textosinformato"/>
              <w:rPr>
                <w:color w:val="215E99" w:themeColor="text2" w:themeTint="BF"/>
              </w:rPr>
            </w:pPr>
          </w:p>
        </w:tc>
        <w:tc>
          <w:tcPr>
            <w:tcW w:w="3117" w:type="dxa"/>
          </w:tcPr>
          <w:p w14:paraId="458D7D92" w14:textId="77777777" w:rsidR="005A0A4C" w:rsidRPr="00DC3755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>
              <w:rPr>
                <w:color w:val="215E99" w:themeColor="text2" w:themeTint="BF"/>
                <w:lang w:val="es-CL"/>
              </w:rPr>
              <w:t>El asignatario</w:t>
            </w:r>
            <w:r w:rsidRPr="00DC3755">
              <w:rPr>
                <w:color w:val="215E99" w:themeColor="text2" w:themeTint="BF"/>
                <w:lang w:val="es-CL"/>
              </w:rPr>
              <w:t xml:space="preserve"> inicial de IPv4</w:t>
            </w:r>
          </w:p>
        </w:tc>
      </w:tr>
      <w:tr w:rsidR="005A0A4C" w:rsidRPr="00DC3755" w14:paraId="6587D2A7" w14:textId="77777777" w:rsidTr="003D233D">
        <w:tc>
          <w:tcPr>
            <w:tcW w:w="3116" w:type="dxa"/>
          </w:tcPr>
          <w:p w14:paraId="702D5E69" w14:textId="77777777" w:rsidR="005A0A4C" w:rsidRPr="005A0A4C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1367D">
              <w:rPr>
                <w:color w:val="215E99" w:themeColor="text2" w:themeTint="BF"/>
                <w:lang w:val="es-CL"/>
              </w:rPr>
              <w:t>Vínculo legal entre las partes de una transacción</w:t>
            </w:r>
          </w:p>
        </w:tc>
        <w:tc>
          <w:tcPr>
            <w:tcW w:w="3117" w:type="dxa"/>
          </w:tcPr>
          <w:p w14:paraId="178BDEE7" w14:textId="77777777" w:rsidR="005A0A4C" w:rsidRPr="00350E1C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350E1C">
              <w:rPr>
                <w:color w:val="215E99" w:themeColor="text2" w:themeTint="BF"/>
                <w:lang w:val="es-CL"/>
              </w:rPr>
              <w:t xml:space="preserve">Una vez que </w:t>
            </w:r>
            <w:r>
              <w:rPr>
                <w:color w:val="215E99" w:themeColor="text2" w:themeTint="BF"/>
                <w:lang w:val="es-CL"/>
              </w:rPr>
              <w:t xml:space="preserve">las </w:t>
            </w:r>
            <w:r w:rsidRPr="00350E1C">
              <w:rPr>
                <w:color w:val="215E99" w:themeColor="text2" w:themeTint="BF"/>
                <w:lang w:val="es-CL"/>
              </w:rPr>
              <w:t>IPv4 se transfiere</w:t>
            </w:r>
            <w:r>
              <w:rPr>
                <w:color w:val="215E99" w:themeColor="text2" w:themeTint="BF"/>
                <w:lang w:val="es-CL"/>
              </w:rPr>
              <w:t>n</w:t>
            </w:r>
            <w:r w:rsidRPr="00350E1C">
              <w:rPr>
                <w:color w:val="215E99" w:themeColor="text2" w:themeTint="BF"/>
                <w:lang w:val="es-CL"/>
              </w:rPr>
              <w:t xml:space="preserve"> de forma permanente, no existe relación jurídica entre el cedente y el cesionario.</w:t>
            </w:r>
            <w:r w:rsidRPr="00DC3755">
              <w:rPr>
                <w:color w:val="215E99" w:themeColor="text2" w:themeTint="BF"/>
                <w:lang w:val="es-CL"/>
              </w:rPr>
              <w:t xml:space="preserve"> control</w:t>
            </w:r>
          </w:p>
        </w:tc>
        <w:tc>
          <w:tcPr>
            <w:tcW w:w="3117" w:type="dxa"/>
          </w:tcPr>
          <w:p w14:paraId="6BF30807" w14:textId="77777777" w:rsidR="005A0A4C" w:rsidRPr="00DC3755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C3755">
              <w:rPr>
                <w:color w:val="215E99" w:themeColor="text2" w:themeTint="BF"/>
                <w:lang w:val="es-CL"/>
              </w:rPr>
              <w:t xml:space="preserve">Durante el uso de IPv4 por parte de un tercero autorizado debe existir una relación jurídica entre el </w:t>
            </w:r>
            <w:r>
              <w:rPr>
                <w:color w:val="215E99" w:themeColor="text2" w:themeTint="BF"/>
                <w:lang w:val="es-CL"/>
              </w:rPr>
              <w:t xml:space="preserve">asignatario </w:t>
            </w:r>
            <w:r w:rsidRPr="00DC3755">
              <w:rPr>
                <w:color w:val="215E99" w:themeColor="text2" w:themeTint="BF"/>
                <w:lang w:val="es-CL"/>
              </w:rPr>
              <w:t>inicial y el tercero autorizado.</w:t>
            </w:r>
          </w:p>
        </w:tc>
      </w:tr>
      <w:tr w:rsidR="005A0A4C" w:rsidRPr="00DC3755" w14:paraId="4F4D2EBD" w14:textId="77777777" w:rsidTr="003D233D">
        <w:tc>
          <w:tcPr>
            <w:tcW w:w="3116" w:type="dxa"/>
          </w:tcPr>
          <w:p w14:paraId="26A92FE7" w14:textId="77777777" w:rsidR="005A0A4C" w:rsidRDefault="005A0A4C" w:rsidP="003D233D">
            <w:pPr>
              <w:pStyle w:val="Textosinformato"/>
              <w:rPr>
                <w:color w:val="215E99" w:themeColor="text2" w:themeTint="BF"/>
              </w:rPr>
            </w:pPr>
            <w:proofErr w:type="spellStart"/>
            <w:r>
              <w:rPr>
                <w:color w:val="215E99" w:themeColor="text2" w:themeTint="BF"/>
              </w:rPr>
              <w:t>Devoluciones</w:t>
            </w:r>
            <w:proofErr w:type="spellEnd"/>
            <w:r>
              <w:rPr>
                <w:color w:val="215E99" w:themeColor="text2" w:themeTint="BF"/>
              </w:rPr>
              <w:t xml:space="preserve"> de </w:t>
            </w:r>
            <w:proofErr w:type="spellStart"/>
            <w:r>
              <w:rPr>
                <w:color w:val="215E99" w:themeColor="text2" w:themeTint="BF"/>
              </w:rPr>
              <w:t>recursos</w:t>
            </w:r>
            <w:proofErr w:type="spellEnd"/>
            <w:r>
              <w:rPr>
                <w:color w:val="215E99" w:themeColor="text2" w:themeTint="BF"/>
              </w:rPr>
              <w:t xml:space="preserve"> IPV4</w:t>
            </w:r>
          </w:p>
        </w:tc>
        <w:tc>
          <w:tcPr>
            <w:tcW w:w="3117" w:type="dxa"/>
          </w:tcPr>
          <w:p w14:paraId="439F8596" w14:textId="77777777" w:rsidR="005A0A4C" w:rsidRPr="00350E1C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350E1C">
              <w:rPr>
                <w:color w:val="215E99" w:themeColor="text2" w:themeTint="BF"/>
                <w:lang w:val="es-CL"/>
              </w:rPr>
              <w:t>No es posible (a menos que tanto el cedente como el cesionario acuerden dicha transferencia de IPv4)</w:t>
            </w:r>
          </w:p>
        </w:tc>
        <w:tc>
          <w:tcPr>
            <w:tcW w:w="3117" w:type="dxa"/>
          </w:tcPr>
          <w:p w14:paraId="59D4AF12" w14:textId="77777777" w:rsidR="005A0A4C" w:rsidRPr="00DC3755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C3755">
              <w:rPr>
                <w:color w:val="215E99" w:themeColor="text2" w:themeTint="BF"/>
                <w:lang w:val="es-CL"/>
              </w:rPr>
              <w:t xml:space="preserve">El </w:t>
            </w:r>
            <w:r>
              <w:rPr>
                <w:color w:val="215E99" w:themeColor="text2" w:themeTint="BF"/>
                <w:lang w:val="es-CL"/>
              </w:rPr>
              <w:t xml:space="preserve">asignatario </w:t>
            </w:r>
            <w:r w:rsidRPr="00DC3755">
              <w:rPr>
                <w:color w:val="215E99" w:themeColor="text2" w:themeTint="BF"/>
                <w:lang w:val="es-CL"/>
              </w:rPr>
              <w:t>inicial tiene pleno derecho cuando IPv4 se devuelva al cesionario inicial (a través de ROA, RPKI)</w:t>
            </w:r>
          </w:p>
        </w:tc>
      </w:tr>
      <w:tr w:rsidR="005A0A4C" w:rsidRPr="00DC3755" w14:paraId="69576A88" w14:textId="77777777" w:rsidTr="003D233D">
        <w:tc>
          <w:tcPr>
            <w:tcW w:w="3116" w:type="dxa"/>
          </w:tcPr>
          <w:p w14:paraId="5F06E366" w14:textId="77777777" w:rsidR="005A0A4C" w:rsidRPr="00D1367D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1367D">
              <w:rPr>
                <w:color w:val="215E99" w:themeColor="text2" w:themeTint="BF"/>
                <w:lang w:val="es-CL"/>
              </w:rPr>
              <w:t>Involucramiento de LACNIC en la transacci</w:t>
            </w:r>
            <w:r>
              <w:rPr>
                <w:color w:val="215E99" w:themeColor="text2" w:themeTint="BF"/>
                <w:lang w:val="es-CL"/>
              </w:rPr>
              <w:t>ón</w:t>
            </w:r>
          </w:p>
        </w:tc>
        <w:tc>
          <w:tcPr>
            <w:tcW w:w="3117" w:type="dxa"/>
          </w:tcPr>
          <w:p w14:paraId="264E989F" w14:textId="77777777" w:rsidR="005A0A4C" w:rsidRPr="00DC3755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C3755">
              <w:rPr>
                <w:color w:val="215E99" w:themeColor="text2" w:themeTint="BF"/>
                <w:lang w:val="es-CL"/>
              </w:rPr>
              <w:t>Obligatorio comprobar la justificación de la necesidad y aprobar la transferencia.</w:t>
            </w:r>
          </w:p>
        </w:tc>
        <w:tc>
          <w:tcPr>
            <w:tcW w:w="3117" w:type="dxa"/>
          </w:tcPr>
          <w:p w14:paraId="3041DA10" w14:textId="77777777" w:rsidR="005A0A4C" w:rsidRPr="00DC3755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C3755">
              <w:rPr>
                <w:color w:val="215E99" w:themeColor="text2" w:themeTint="BF"/>
                <w:lang w:val="es-CL"/>
              </w:rPr>
              <w:t>No requerido – la subdelegación se registra en milacnic.lacnic.net y Whois por el asigna</w:t>
            </w:r>
            <w:r>
              <w:rPr>
                <w:color w:val="215E99" w:themeColor="text2" w:themeTint="BF"/>
                <w:lang w:val="es-CL"/>
              </w:rPr>
              <w:t>tario</w:t>
            </w:r>
            <w:r w:rsidRPr="00DC3755">
              <w:rPr>
                <w:color w:val="215E99" w:themeColor="text2" w:themeTint="BF"/>
                <w:lang w:val="es-CL"/>
              </w:rPr>
              <w:t xml:space="preserve"> inicial</w:t>
            </w:r>
          </w:p>
        </w:tc>
      </w:tr>
      <w:tr w:rsidR="005A0A4C" w:rsidRPr="00DC3755" w14:paraId="74C482E1" w14:textId="77777777" w:rsidTr="003D233D">
        <w:tc>
          <w:tcPr>
            <w:tcW w:w="3116" w:type="dxa"/>
          </w:tcPr>
          <w:p w14:paraId="599ED1A0" w14:textId="77777777" w:rsidR="005A0A4C" w:rsidRPr="00D1367D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1367D">
              <w:rPr>
                <w:color w:val="215E99" w:themeColor="text2" w:themeTint="BF"/>
                <w:lang w:val="es-CL"/>
              </w:rPr>
              <w:t xml:space="preserve">Tiempo necesario para completar la transacción </w:t>
            </w:r>
          </w:p>
          <w:p w14:paraId="3CDCC862" w14:textId="77777777" w:rsidR="005A0A4C" w:rsidRPr="00D1367D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</w:p>
          <w:p w14:paraId="7D002898" w14:textId="77777777" w:rsidR="005A0A4C" w:rsidRPr="00D1367D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</w:p>
        </w:tc>
        <w:tc>
          <w:tcPr>
            <w:tcW w:w="3117" w:type="dxa"/>
          </w:tcPr>
          <w:p w14:paraId="0A225CFD" w14:textId="77777777" w:rsidR="005A0A4C" w:rsidRPr="00DC3755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C3755">
              <w:rPr>
                <w:color w:val="215E99" w:themeColor="text2" w:themeTint="BF"/>
                <w:lang w:val="es-CL"/>
              </w:rPr>
              <w:t>Las transferencias permanentes de IPv4 suelen completarse en aproximadamente 6 meses en LACNIC. Es posible que también se requiera un tiempo similar para las transferencias temporales</w:t>
            </w:r>
            <w:r>
              <w:rPr>
                <w:color w:val="215E99" w:themeColor="text2" w:themeTint="BF"/>
                <w:lang w:val="es-CL"/>
              </w:rPr>
              <w:t xml:space="preserve">, desincentivando su uso, especialmente para pequeños </w:t>
            </w:r>
            <w:proofErr w:type="spellStart"/>
            <w:r>
              <w:rPr>
                <w:color w:val="215E99" w:themeColor="text2" w:themeTint="BF"/>
                <w:lang w:val="es-CL"/>
              </w:rPr>
              <w:t>ISPs</w:t>
            </w:r>
            <w:proofErr w:type="spellEnd"/>
            <w:r>
              <w:rPr>
                <w:color w:val="215E99" w:themeColor="text2" w:themeTint="BF"/>
                <w:lang w:val="es-CL"/>
              </w:rPr>
              <w:t xml:space="preserve"> que requieren recursos ahora. </w:t>
            </w:r>
          </w:p>
        </w:tc>
        <w:tc>
          <w:tcPr>
            <w:tcW w:w="3117" w:type="dxa"/>
          </w:tcPr>
          <w:p w14:paraId="6355FC7F" w14:textId="77777777" w:rsidR="005A0A4C" w:rsidRPr="00DC3755" w:rsidRDefault="005A0A4C" w:rsidP="003D233D">
            <w:pPr>
              <w:pStyle w:val="Textosinformato"/>
              <w:rPr>
                <w:color w:val="215E99" w:themeColor="text2" w:themeTint="BF"/>
                <w:lang w:val="es-CL"/>
              </w:rPr>
            </w:pPr>
            <w:r w:rsidRPr="00DC3755">
              <w:rPr>
                <w:color w:val="215E99" w:themeColor="text2" w:themeTint="BF"/>
                <w:lang w:val="es-CL"/>
              </w:rPr>
              <w:t xml:space="preserve">Casi al instante (al registrarse la subdelegación en milacnic.lacnic.net y actualizar los registros Whois). Lo mismo se aplica a la devolución de IPv4 al </w:t>
            </w:r>
            <w:proofErr w:type="spellStart"/>
            <w:r>
              <w:rPr>
                <w:color w:val="215E99" w:themeColor="text2" w:themeTint="BF"/>
                <w:lang w:val="es-CL"/>
              </w:rPr>
              <w:t>asginatario</w:t>
            </w:r>
            <w:proofErr w:type="spellEnd"/>
            <w:r w:rsidRPr="00DC3755">
              <w:rPr>
                <w:color w:val="215E99" w:themeColor="text2" w:themeTint="BF"/>
                <w:lang w:val="es-CL"/>
              </w:rPr>
              <w:t xml:space="preserve"> inicial.</w:t>
            </w:r>
          </w:p>
        </w:tc>
      </w:tr>
    </w:tbl>
    <w:p w14:paraId="31DDDD69" w14:textId="77777777" w:rsidR="005A0A4C" w:rsidRPr="00DC3755" w:rsidRDefault="005A0A4C" w:rsidP="005A0A4C">
      <w:pPr>
        <w:rPr>
          <w:lang w:val="es-CL"/>
        </w:rPr>
      </w:pPr>
    </w:p>
    <w:p w14:paraId="2783DFBC" w14:textId="77777777" w:rsidR="005A0A4C" w:rsidRPr="00DC3755" w:rsidRDefault="005A0A4C" w:rsidP="005A0A4C">
      <w:pPr>
        <w:pStyle w:val="Textosinformato"/>
        <w:rPr>
          <w:color w:val="215E99" w:themeColor="text2" w:themeTint="BF"/>
          <w:lang w:val="es-CL"/>
        </w:rPr>
      </w:pPr>
    </w:p>
    <w:p w14:paraId="092AF9EE" w14:textId="77777777" w:rsidR="00720281" w:rsidRPr="005A0A4C" w:rsidRDefault="00720281">
      <w:pPr>
        <w:rPr>
          <w:lang w:val="es-CL"/>
        </w:rPr>
      </w:pPr>
    </w:p>
    <w:sectPr w:rsidR="00720281" w:rsidRPr="005A0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C"/>
    <w:rsid w:val="005A0A4C"/>
    <w:rsid w:val="005F721F"/>
    <w:rsid w:val="00720281"/>
    <w:rsid w:val="00802276"/>
    <w:rsid w:val="00E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C169"/>
  <w15:chartTrackingRefBased/>
  <w15:docId w15:val="{DF7164B0-650C-4D25-8328-3946928C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4C"/>
    <w:pPr>
      <w:spacing w:line="259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A0A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0A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A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0A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0A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0A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0A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s-C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0A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C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0A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0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0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0A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0A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0A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0A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0A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0A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0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character" w:customStyle="1" w:styleId="TtuloCar">
    <w:name w:val="Título Car"/>
    <w:basedOn w:val="Fuentedeprrafopredeter"/>
    <w:link w:val="Ttulo"/>
    <w:uiPriority w:val="10"/>
    <w:rsid w:val="005A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0A4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5A0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0A4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s-CL"/>
    </w:rPr>
  </w:style>
  <w:style w:type="character" w:customStyle="1" w:styleId="CitaCar">
    <w:name w:val="Cita Car"/>
    <w:basedOn w:val="Fuentedeprrafopredeter"/>
    <w:link w:val="Cita"/>
    <w:uiPriority w:val="29"/>
    <w:rsid w:val="005A0A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0A4C"/>
    <w:pPr>
      <w:spacing w:line="278" w:lineRule="auto"/>
      <w:ind w:left="720"/>
      <w:contextualSpacing/>
    </w:pPr>
    <w:rPr>
      <w:sz w:val="24"/>
      <w:szCs w:val="24"/>
      <w:lang w:val="es-CL"/>
    </w:rPr>
  </w:style>
  <w:style w:type="character" w:styleId="nfasisintenso">
    <w:name w:val="Intense Emphasis"/>
    <w:basedOn w:val="Fuentedeprrafopredeter"/>
    <w:uiPriority w:val="21"/>
    <w:qFormat/>
    <w:rsid w:val="005A0A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0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0A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0A4C"/>
    <w:rPr>
      <w:b/>
      <w:bCs/>
      <w:smallCaps/>
      <w:color w:val="0F4761" w:themeColor="accent1" w:themeShade="BF"/>
      <w:spacing w:val="5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0A4C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0A4C"/>
    <w:rPr>
      <w:rFonts w:ascii="Calibri" w:hAnsi="Calibri"/>
      <w:sz w:val="22"/>
      <w:szCs w:val="21"/>
      <w:lang w:val="en-US"/>
    </w:rPr>
  </w:style>
  <w:style w:type="table" w:styleId="Tablaconcuadrcula">
    <w:name w:val="Table Grid"/>
    <w:basedOn w:val="Tablanormal"/>
    <w:uiPriority w:val="39"/>
    <w:rsid w:val="005A0A4C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Navarro</dc:creator>
  <cp:keywords/>
  <dc:description/>
  <cp:lastModifiedBy>Gonzalo Navarro</cp:lastModifiedBy>
  <cp:revision>1</cp:revision>
  <dcterms:created xsi:type="dcterms:W3CDTF">2024-06-04T14:01:00Z</dcterms:created>
  <dcterms:modified xsi:type="dcterms:W3CDTF">2024-06-04T14:01:00Z</dcterms:modified>
</cp:coreProperties>
</file>